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9A78" w14:textId="77777777" w:rsidR="00B10814" w:rsidRPr="005641F6" w:rsidRDefault="008B4D82" w:rsidP="008B4D82">
      <w:pPr>
        <w:jc w:val="center"/>
        <w:rPr>
          <w:b/>
        </w:rPr>
      </w:pPr>
      <w:bookmarkStart w:id="0" w:name="_GoBack"/>
      <w:bookmarkEnd w:id="0"/>
      <w:r w:rsidRPr="005641F6">
        <w:rPr>
          <w:b/>
        </w:rPr>
        <w:t>QUESTIONS &amp; ANSWERS</w:t>
      </w:r>
    </w:p>
    <w:p w14:paraId="643B6E20" w14:textId="752B6DFB" w:rsidR="008B4D82" w:rsidRDefault="004B5103" w:rsidP="008B4D82">
      <w:pPr>
        <w:jc w:val="center"/>
        <w:rPr>
          <w:b/>
        </w:rPr>
      </w:pPr>
      <w:r w:rsidRPr="005641F6">
        <w:rPr>
          <w:b/>
        </w:rPr>
        <w:t>IBEW TENTH DISTRICT</w:t>
      </w:r>
      <w:r w:rsidR="00040A7D">
        <w:rPr>
          <w:b/>
        </w:rPr>
        <w:t xml:space="preserve"> </w:t>
      </w:r>
      <w:r w:rsidRPr="005641F6">
        <w:rPr>
          <w:b/>
        </w:rPr>
        <w:t>INSIDE RECOVERY AGREEMENT</w:t>
      </w:r>
    </w:p>
    <w:p w14:paraId="6F8244CA" w14:textId="0238D5DD" w:rsidR="00040A7D" w:rsidRPr="00040A7D" w:rsidRDefault="00040A7D" w:rsidP="00040A7D">
      <w:pPr>
        <w:jc w:val="center"/>
        <w:rPr>
          <w:b/>
          <w:color w:val="FF0000"/>
        </w:rPr>
      </w:pPr>
    </w:p>
    <w:p w14:paraId="76BC9226" w14:textId="77777777" w:rsidR="00040A7D" w:rsidRDefault="00040A7D" w:rsidP="008B4D82">
      <w:pPr>
        <w:jc w:val="center"/>
        <w:rPr>
          <w:b/>
        </w:rPr>
      </w:pPr>
    </w:p>
    <w:p w14:paraId="01F53FA8" w14:textId="2868AB6E" w:rsidR="00EF4664" w:rsidRDefault="00EF4664" w:rsidP="0005497B">
      <w:pPr>
        <w:pStyle w:val="ListParagraph"/>
        <w:numPr>
          <w:ilvl w:val="0"/>
          <w:numId w:val="1"/>
        </w:numPr>
        <w:rPr>
          <w:b/>
          <w:i/>
        </w:rPr>
      </w:pPr>
      <w:r>
        <w:rPr>
          <w:b/>
          <w:i/>
        </w:rPr>
        <w:t>Wh</w:t>
      </w:r>
      <w:r w:rsidR="00A71635">
        <w:rPr>
          <w:b/>
          <w:i/>
        </w:rPr>
        <w:t xml:space="preserve">y draft a district-wide </w:t>
      </w:r>
      <w:r>
        <w:rPr>
          <w:b/>
          <w:i/>
        </w:rPr>
        <w:t>inside recovery agreement?</w:t>
      </w:r>
    </w:p>
    <w:p w14:paraId="5FCDB9DB" w14:textId="1715CB74" w:rsidR="00EF4664" w:rsidRDefault="00EF4664" w:rsidP="00EF4664">
      <w:pPr>
        <w:rPr>
          <w:b/>
          <w:i/>
        </w:rPr>
      </w:pPr>
    </w:p>
    <w:p w14:paraId="3A2AD8BD" w14:textId="4FB0967F" w:rsidR="00EF4664" w:rsidRDefault="00EF4664" w:rsidP="00EF4664">
      <w:pPr>
        <w:ind w:left="720"/>
        <w:jc w:val="both"/>
        <w:rPr>
          <w:bCs/>
          <w:iCs/>
        </w:rPr>
      </w:pPr>
      <w:r>
        <w:rPr>
          <w:b/>
          <w:iCs/>
          <w:u w:val="single"/>
        </w:rPr>
        <w:t>Answer:</w:t>
      </w:r>
      <w:r>
        <w:rPr>
          <w:bCs/>
          <w:iCs/>
        </w:rPr>
        <w:t xml:space="preserve">  The </w:t>
      </w:r>
      <w:r w:rsidR="00A71635">
        <w:rPr>
          <w:bCs/>
          <w:iCs/>
        </w:rPr>
        <w:t xml:space="preserve">IBEW Tenth District, and its local unions, drafted and executed the IBEW Tenth District Inside Recovery Agreement to create a market recovery vehicle that was applicable throughout the IBEW Tenth District, established terms and conditions that would be consistent throughout the district, </w:t>
      </w:r>
      <w:r w:rsidRPr="00EF4664">
        <w:rPr>
          <w:b/>
          <w:i/>
          <w:u w:val="single"/>
        </w:rPr>
        <w:t>and</w:t>
      </w:r>
      <w:r>
        <w:rPr>
          <w:bCs/>
          <w:iCs/>
        </w:rPr>
        <w:t xml:space="preserve"> </w:t>
      </w:r>
      <w:r w:rsidR="00A71635">
        <w:rPr>
          <w:bCs/>
          <w:iCs/>
        </w:rPr>
        <w:t xml:space="preserve">would </w:t>
      </w:r>
      <w:r>
        <w:rPr>
          <w:bCs/>
          <w:iCs/>
        </w:rPr>
        <w:t xml:space="preserve">allow for full portability of manpower throughout </w:t>
      </w:r>
      <w:r w:rsidR="00A71635">
        <w:rPr>
          <w:bCs/>
          <w:iCs/>
        </w:rPr>
        <w:t>the district</w:t>
      </w:r>
      <w:r>
        <w:rPr>
          <w:bCs/>
          <w:iCs/>
        </w:rPr>
        <w:t>.</w:t>
      </w:r>
    </w:p>
    <w:p w14:paraId="1122B3B3" w14:textId="77777777" w:rsidR="00EF4664" w:rsidRPr="00EF4664" w:rsidRDefault="00EF4664" w:rsidP="00EF4664">
      <w:pPr>
        <w:ind w:left="720"/>
        <w:rPr>
          <w:bCs/>
          <w:iCs/>
        </w:rPr>
      </w:pPr>
    </w:p>
    <w:p w14:paraId="3718310C" w14:textId="7371C7AD" w:rsidR="008B4D82" w:rsidRPr="005641F6" w:rsidRDefault="002B3B23" w:rsidP="0005497B">
      <w:pPr>
        <w:pStyle w:val="ListParagraph"/>
        <w:numPr>
          <w:ilvl w:val="0"/>
          <w:numId w:val="1"/>
        </w:numPr>
        <w:rPr>
          <w:b/>
          <w:i/>
        </w:rPr>
      </w:pPr>
      <w:r w:rsidRPr="005641F6">
        <w:rPr>
          <w:b/>
          <w:i/>
        </w:rPr>
        <w:t xml:space="preserve">What </w:t>
      </w:r>
      <w:r w:rsidR="0081092A" w:rsidRPr="005641F6">
        <w:rPr>
          <w:b/>
          <w:i/>
        </w:rPr>
        <w:t>is required to be able to utilize the agreement?</w:t>
      </w:r>
    </w:p>
    <w:p w14:paraId="361E5B26" w14:textId="77777777" w:rsidR="0081092A" w:rsidRPr="005641F6" w:rsidRDefault="0081092A" w:rsidP="0081092A">
      <w:pPr>
        <w:rPr>
          <w:b/>
          <w:i/>
        </w:rPr>
      </w:pPr>
    </w:p>
    <w:p w14:paraId="73A7E403" w14:textId="44EE446D" w:rsidR="004B5103" w:rsidRPr="003173F4" w:rsidRDefault="004B5103" w:rsidP="00B84153">
      <w:pPr>
        <w:ind w:left="720"/>
        <w:jc w:val="both"/>
        <w:rPr>
          <w:i/>
          <w:iCs/>
        </w:rPr>
      </w:pPr>
      <w:r w:rsidRPr="005641F6">
        <w:rPr>
          <w:b/>
          <w:bCs/>
          <w:u w:val="single"/>
        </w:rPr>
        <w:t>Answer:</w:t>
      </w:r>
      <w:r w:rsidRPr="005641F6">
        <w:t xml:space="preserve">  A contractor must do </w:t>
      </w:r>
      <w:r w:rsidR="00FA32D9" w:rsidRPr="005641F6">
        <w:t xml:space="preserve">five </w:t>
      </w:r>
      <w:r w:rsidR="00CB226E" w:rsidRPr="005641F6">
        <w:t>(</w:t>
      </w:r>
      <w:r w:rsidR="00FA32D9" w:rsidRPr="005641F6">
        <w:t>5</w:t>
      </w:r>
      <w:r w:rsidR="00CB226E" w:rsidRPr="005641F6">
        <w:t>) things to utilize the recovery agreement – (1) sign a letter of assent to the IBEW Tenth District Inside Recovery Agreement, (2) sign a letter of assent to the site local union inside agreement, (3) execute the signature page of the recovery agreement</w:t>
      </w:r>
      <w:r w:rsidR="00FA32D9" w:rsidRPr="005641F6">
        <w:t xml:space="preserve">, (4) </w:t>
      </w:r>
      <w:r w:rsidR="00CB226E" w:rsidRPr="005641F6">
        <w:t xml:space="preserve">submit </w:t>
      </w:r>
      <w:r w:rsidR="004E6992" w:rsidRPr="005641F6">
        <w:t xml:space="preserve">to the site local union by email or fax </w:t>
      </w:r>
      <w:r w:rsidR="00CB226E" w:rsidRPr="005641F6">
        <w:t>a “Job Start Form” within 24 hours of starting a job</w:t>
      </w:r>
      <w:r w:rsidR="00FA32D9" w:rsidRPr="005641F6">
        <w:t xml:space="preserve">, </w:t>
      </w:r>
      <w:r w:rsidR="00CB226E" w:rsidRPr="005641F6">
        <w:t xml:space="preserve"> and </w:t>
      </w:r>
      <w:r w:rsidR="00FA32D9" w:rsidRPr="00A71635">
        <w:t xml:space="preserve">(5) </w:t>
      </w:r>
      <w:r w:rsidR="00CB226E" w:rsidRPr="00A71635">
        <w:t>submit the executed signature page</w:t>
      </w:r>
      <w:r w:rsidR="004E6992" w:rsidRPr="00A71635">
        <w:t xml:space="preserve"> to the site local union and NECA </w:t>
      </w:r>
      <w:r w:rsidR="00FA32D9" w:rsidRPr="00A71635">
        <w:t xml:space="preserve">chapter </w:t>
      </w:r>
      <w:r w:rsidR="004E6992" w:rsidRPr="00A71635">
        <w:t xml:space="preserve">for </w:t>
      </w:r>
      <w:r w:rsidR="004E6992" w:rsidRPr="00A71635">
        <w:rPr>
          <w:b/>
          <w:bCs/>
          <w:i/>
          <w:iCs/>
          <w:u w:val="single"/>
        </w:rPr>
        <w:t>each</w:t>
      </w:r>
      <w:r w:rsidR="004E6992" w:rsidRPr="00A71635">
        <w:t xml:space="preserve"> site project.</w:t>
      </w:r>
      <w:r w:rsidR="003173F4" w:rsidRPr="00A71635">
        <w:t xml:space="preserve"> </w:t>
      </w:r>
    </w:p>
    <w:p w14:paraId="46667AE9" w14:textId="64861595" w:rsidR="004E6992" w:rsidRPr="005641F6" w:rsidRDefault="004E6992" w:rsidP="00B84153">
      <w:pPr>
        <w:ind w:left="720"/>
        <w:jc w:val="both"/>
      </w:pPr>
    </w:p>
    <w:p w14:paraId="631DC282" w14:textId="0E87839F" w:rsidR="001B2673" w:rsidRPr="00894E5E" w:rsidRDefault="00A2312C" w:rsidP="00A2312C">
      <w:pPr>
        <w:pStyle w:val="ListParagraph"/>
        <w:numPr>
          <w:ilvl w:val="0"/>
          <w:numId w:val="1"/>
        </w:numPr>
        <w:rPr>
          <w:b/>
          <w:i/>
        </w:rPr>
      </w:pPr>
      <w:r w:rsidRPr="00894E5E">
        <w:rPr>
          <w:b/>
          <w:i/>
        </w:rPr>
        <w:t xml:space="preserve">What is the </w:t>
      </w:r>
      <w:r w:rsidR="00E0563F" w:rsidRPr="00894E5E">
        <w:rPr>
          <w:b/>
          <w:i/>
        </w:rPr>
        <w:t>jurisdiction of the agreement</w:t>
      </w:r>
      <w:r w:rsidRPr="00894E5E">
        <w:rPr>
          <w:b/>
          <w:i/>
        </w:rPr>
        <w:t>?</w:t>
      </w:r>
      <w:r w:rsidR="00B84153" w:rsidRPr="00894E5E">
        <w:rPr>
          <w:b/>
          <w:i/>
        </w:rPr>
        <w:t xml:space="preserve"> </w:t>
      </w:r>
    </w:p>
    <w:p w14:paraId="07BBD2F7" w14:textId="77777777" w:rsidR="00A2312C" w:rsidRPr="005641F6" w:rsidRDefault="00A2312C" w:rsidP="00A2312C">
      <w:pPr>
        <w:rPr>
          <w:b/>
          <w:i/>
        </w:rPr>
      </w:pPr>
    </w:p>
    <w:p w14:paraId="110A6404" w14:textId="47D464F8" w:rsidR="00B84153" w:rsidRPr="005641F6" w:rsidRDefault="006D46BE" w:rsidP="00B84153">
      <w:pPr>
        <w:ind w:left="720"/>
        <w:jc w:val="both"/>
      </w:pPr>
      <w:r w:rsidRPr="005641F6">
        <w:rPr>
          <w:b/>
          <w:bCs/>
          <w:u w:val="single"/>
        </w:rPr>
        <w:t>Answer:</w:t>
      </w:r>
      <w:r w:rsidRPr="005641F6">
        <w:t xml:space="preserve">  </w:t>
      </w:r>
      <w:r w:rsidR="00B84153" w:rsidRPr="005641F6">
        <w:t>Th</w:t>
      </w:r>
      <w:r w:rsidRPr="005641F6">
        <w:t>e</w:t>
      </w:r>
      <w:r w:rsidR="00C856F9" w:rsidRPr="005641F6">
        <w:t xml:space="preserve"> </w:t>
      </w:r>
      <w:r w:rsidR="004E6992" w:rsidRPr="005641F6">
        <w:t xml:space="preserve">IBEW Tenth District Inside Recovery Agreement </w:t>
      </w:r>
      <w:r w:rsidR="00B84153" w:rsidRPr="005641F6">
        <w:t xml:space="preserve">can be used in all </w:t>
      </w:r>
      <w:r w:rsidRPr="005641F6">
        <w:t xml:space="preserve">Tenth </w:t>
      </w:r>
      <w:r w:rsidR="00B84153" w:rsidRPr="005641F6">
        <w:t xml:space="preserve">District local union jurisdictions </w:t>
      </w:r>
      <w:r w:rsidR="00B84153" w:rsidRPr="005641F6">
        <w:rPr>
          <w:b/>
          <w:bCs/>
          <w:i/>
          <w:iCs/>
          <w:u w:val="single"/>
        </w:rPr>
        <w:t>except for</w:t>
      </w:r>
      <w:r w:rsidR="00B84153" w:rsidRPr="005641F6">
        <w:t xml:space="preserve"> LU 175 (Chattanooga). </w:t>
      </w:r>
      <w:r w:rsidR="003173F4" w:rsidRPr="00A71635">
        <w:t>While</w:t>
      </w:r>
      <w:r w:rsidR="00B84153" w:rsidRPr="00A71635">
        <w:t xml:space="preserve"> </w:t>
      </w:r>
      <w:r w:rsidR="004E6992" w:rsidRPr="00A71635">
        <w:t xml:space="preserve">Local Union 175 </w:t>
      </w:r>
      <w:r w:rsidR="00C47624">
        <w:t>is</w:t>
      </w:r>
      <w:r w:rsidR="004E6992" w:rsidRPr="00A71635">
        <w:t xml:space="preserve"> </w:t>
      </w:r>
      <w:r w:rsidR="003173F4" w:rsidRPr="00A71635">
        <w:t xml:space="preserve">not signatory to the District Wide </w:t>
      </w:r>
      <w:r w:rsidR="0030619B">
        <w:t xml:space="preserve">agreement </w:t>
      </w:r>
      <w:r w:rsidR="0030619B" w:rsidRPr="00A71635">
        <w:t>currently</w:t>
      </w:r>
      <w:r w:rsidR="003173F4" w:rsidRPr="00A71635">
        <w:t xml:space="preserve">, they are </w:t>
      </w:r>
      <w:r w:rsidR="004E6992" w:rsidRPr="00A71635">
        <w:t>willing to work with contractors in gaining work in their jurisdictions.</w:t>
      </w:r>
      <w:r w:rsidR="003173F4" w:rsidRPr="00A71635">
        <w:t xml:space="preserve"> If you desire to work under the terms of the District Wide Agreements, you should c</w:t>
      </w:r>
      <w:r w:rsidR="009159B7" w:rsidRPr="00A71635">
        <w:t>ontact the respective local union directly regarding</w:t>
      </w:r>
      <w:r w:rsidR="003173F4" w:rsidRPr="00A71635">
        <w:t xml:space="preserve"> a possible variance and/or project agreement.</w:t>
      </w:r>
    </w:p>
    <w:p w14:paraId="49263089" w14:textId="77777777" w:rsidR="0040131E" w:rsidRPr="005641F6" w:rsidRDefault="0040131E" w:rsidP="00A2312C">
      <w:pPr>
        <w:ind w:left="720"/>
      </w:pPr>
    </w:p>
    <w:p w14:paraId="2D32E3C2" w14:textId="27756660" w:rsidR="00B84153" w:rsidRPr="004A1DEF" w:rsidRDefault="00894E5E" w:rsidP="005641F6">
      <w:pPr>
        <w:ind w:left="720" w:hanging="360"/>
        <w:jc w:val="both"/>
        <w:rPr>
          <w:b/>
          <w:i/>
        </w:rPr>
      </w:pPr>
      <w:r>
        <w:rPr>
          <w:b/>
          <w:iCs/>
        </w:rPr>
        <w:t>4</w:t>
      </w:r>
      <w:r w:rsidR="005641F6" w:rsidRPr="005641F6">
        <w:rPr>
          <w:b/>
          <w:iCs/>
        </w:rPr>
        <w:tab/>
      </w:r>
      <w:r w:rsidR="00B84153" w:rsidRPr="004A1DEF">
        <w:rPr>
          <w:b/>
          <w:i/>
        </w:rPr>
        <w:t>What is meant by, “This scope does not apply to jobs being worked under Local Agreements, National Agreements, PLA’s, or work done on jobs where prevailing wages and conditions are set by Federal, State or Municipal Law such as Tennessee Valley Authority (TVA), Davis Bacon or local ordinances</w:t>
      </w:r>
      <w:r w:rsidR="00C856F9" w:rsidRPr="004A1DEF">
        <w:rPr>
          <w:b/>
          <w:i/>
        </w:rPr>
        <w:t>”</w:t>
      </w:r>
      <w:r w:rsidR="00B84153" w:rsidRPr="004A1DEF">
        <w:rPr>
          <w:b/>
          <w:i/>
        </w:rPr>
        <w:t>.</w:t>
      </w:r>
    </w:p>
    <w:p w14:paraId="5C43F1C3" w14:textId="77777777" w:rsidR="0034260C" w:rsidRPr="005641F6" w:rsidRDefault="0034260C" w:rsidP="0034260C"/>
    <w:p w14:paraId="5AD05635" w14:textId="153BB7C3" w:rsidR="00C856F9" w:rsidRPr="005641F6" w:rsidRDefault="00C856F9" w:rsidP="00C856F9">
      <w:pPr>
        <w:ind w:left="720"/>
        <w:jc w:val="both"/>
      </w:pPr>
      <w:r w:rsidRPr="005641F6">
        <w:rPr>
          <w:b/>
          <w:u w:val="single"/>
        </w:rPr>
        <w:t>Answer:</w:t>
      </w:r>
      <w:r w:rsidRPr="005641F6">
        <w:t xml:space="preserve">  </w:t>
      </w:r>
      <w:r w:rsidR="004E6992" w:rsidRPr="005641F6">
        <w:t xml:space="preserve">It is not the intent of the IBEW Tenth District Inside Recovery Agreement </w:t>
      </w:r>
      <w:r w:rsidRPr="005641F6">
        <w:t xml:space="preserve">to cover work that already has an agreement </w:t>
      </w:r>
      <w:r w:rsidR="004E6992" w:rsidRPr="005641F6">
        <w:t xml:space="preserve">pertaining to a specific customer or </w:t>
      </w:r>
      <w:r w:rsidRPr="005641F6">
        <w:t xml:space="preserve">type of work.   “Local Agreement” does not mean </w:t>
      </w:r>
      <w:r w:rsidR="007722E4" w:rsidRPr="005641F6">
        <w:t xml:space="preserve">the </w:t>
      </w:r>
      <w:r w:rsidRPr="005641F6">
        <w:t xml:space="preserve">Local Inside Agreement. </w:t>
      </w:r>
    </w:p>
    <w:p w14:paraId="257418F0" w14:textId="77777777" w:rsidR="000522A8" w:rsidRPr="005641F6" w:rsidRDefault="000522A8" w:rsidP="0034260C">
      <w:pPr>
        <w:ind w:left="720"/>
      </w:pPr>
    </w:p>
    <w:p w14:paraId="1D41D2C3" w14:textId="3A324EF1" w:rsidR="00EF249A" w:rsidRPr="00EF249A" w:rsidRDefault="004A1DEF" w:rsidP="00CB731C">
      <w:pPr>
        <w:ind w:left="720" w:hanging="360"/>
        <w:jc w:val="both"/>
      </w:pPr>
      <w:r>
        <w:rPr>
          <w:b/>
          <w:iCs/>
        </w:rPr>
        <w:t>5</w:t>
      </w:r>
      <w:r w:rsidR="005641F6" w:rsidRPr="005641F6">
        <w:rPr>
          <w:b/>
          <w:iCs/>
        </w:rPr>
        <w:tab/>
      </w:r>
    </w:p>
    <w:p w14:paraId="5DC14FFF" w14:textId="732D9092" w:rsidR="00F750CD" w:rsidRPr="005641F6" w:rsidRDefault="00F750CD" w:rsidP="00F750CD">
      <w:pPr>
        <w:ind w:left="720"/>
      </w:pPr>
    </w:p>
    <w:p w14:paraId="7CA1C115" w14:textId="26CA4D8B" w:rsidR="006D4835" w:rsidRPr="004A1DEF" w:rsidRDefault="006D4835" w:rsidP="00CB731C">
      <w:pPr>
        <w:pStyle w:val="ListParagraph"/>
        <w:rPr>
          <w:b/>
          <w:bCs/>
          <w:i/>
          <w:iCs/>
        </w:rPr>
      </w:pPr>
      <w:r w:rsidRPr="004A1DEF">
        <w:rPr>
          <w:b/>
          <w:bCs/>
          <w:i/>
          <w:iCs/>
        </w:rPr>
        <w:t xml:space="preserve">Where </w:t>
      </w:r>
      <w:r w:rsidR="007722E4" w:rsidRPr="004A1DEF">
        <w:rPr>
          <w:b/>
          <w:bCs/>
          <w:i/>
          <w:iCs/>
        </w:rPr>
        <w:t xml:space="preserve">should </w:t>
      </w:r>
      <w:r w:rsidRPr="004A1DEF">
        <w:rPr>
          <w:b/>
          <w:bCs/>
          <w:i/>
          <w:iCs/>
        </w:rPr>
        <w:t xml:space="preserve">a contractor send </w:t>
      </w:r>
      <w:r w:rsidR="001F14DA" w:rsidRPr="004A1DEF">
        <w:rPr>
          <w:b/>
          <w:bCs/>
          <w:i/>
          <w:iCs/>
        </w:rPr>
        <w:t xml:space="preserve">a </w:t>
      </w:r>
      <w:r w:rsidRPr="004A1DEF">
        <w:rPr>
          <w:b/>
          <w:bCs/>
          <w:i/>
          <w:iCs/>
        </w:rPr>
        <w:t>Request for Variance?</w:t>
      </w:r>
    </w:p>
    <w:p w14:paraId="5AC07BF8" w14:textId="77777777" w:rsidR="001061CA" w:rsidRPr="005641F6" w:rsidRDefault="001061CA" w:rsidP="001061CA">
      <w:pPr>
        <w:ind w:left="720"/>
      </w:pPr>
    </w:p>
    <w:p w14:paraId="3EC8DE4B" w14:textId="0E450763" w:rsidR="006D46BE" w:rsidRPr="005641F6" w:rsidRDefault="006D46BE" w:rsidP="00CE5164">
      <w:pPr>
        <w:ind w:left="720"/>
        <w:jc w:val="both"/>
      </w:pPr>
      <w:r w:rsidRPr="005641F6">
        <w:rPr>
          <w:b/>
          <w:bCs/>
          <w:u w:val="single"/>
        </w:rPr>
        <w:t>Answer:</w:t>
      </w:r>
      <w:r w:rsidR="00CE5164" w:rsidRPr="005641F6">
        <w:t xml:space="preserve">  A contractor should submit requests for variance, using the prescribed Tenth District Recovery Agreement Variance Request Form, to the appropriate </w:t>
      </w:r>
      <w:r w:rsidR="006D4835" w:rsidRPr="005641F6">
        <w:t xml:space="preserve">(site) </w:t>
      </w:r>
      <w:r w:rsidR="00CE5164" w:rsidRPr="005641F6">
        <w:t>NECA Chapter with a copy to the site local union.</w:t>
      </w:r>
    </w:p>
    <w:p w14:paraId="096CD01F" w14:textId="77777777" w:rsidR="00EF72B7" w:rsidRPr="005641F6" w:rsidRDefault="00EF72B7" w:rsidP="00EF72B7">
      <w:pPr>
        <w:pStyle w:val="ListParagraph"/>
      </w:pPr>
    </w:p>
    <w:p w14:paraId="55048ED2" w14:textId="2338C7C2" w:rsidR="001F14DA" w:rsidRPr="00092257" w:rsidRDefault="001F14DA" w:rsidP="00092257">
      <w:pPr>
        <w:pStyle w:val="ListParagraph"/>
        <w:numPr>
          <w:ilvl w:val="0"/>
          <w:numId w:val="6"/>
        </w:numPr>
        <w:jc w:val="both"/>
        <w:rPr>
          <w:b/>
          <w:bCs/>
          <w:i/>
          <w:iCs/>
        </w:rPr>
      </w:pPr>
      <w:r w:rsidRPr="00092257">
        <w:rPr>
          <w:b/>
          <w:bCs/>
          <w:i/>
          <w:iCs/>
        </w:rPr>
        <w:lastRenderedPageBreak/>
        <w:t xml:space="preserve">What are the time thresholds for </w:t>
      </w:r>
      <w:r w:rsidR="001D4B03" w:rsidRPr="00092257">
        <w:rPr>
          <w:b/>
          <w:bCs/>
          <w:i/>
          <w:iCs/>
        </w:rPr>
        <w:t xml:space="preserve">a </w:t>
      </w:r>
      <w:r w:rsidRPr="00092257">
        <w:rPr>
          <w:b/>
          <w:bCs/>
          <w:i/>
          <w:iCs/>
        </w:rPr>
        <w:t>variance request to be submitted and the subsequent response to be re</w:t>
      </w:r>
      <w:r w:rsidR="001D4B03" w:rsidRPr="00092257">
        <w:rPr>
          <w:b/>
          <w:bCs/>
          <w:i/>
          <w:iCs/>
        </w:rPr>
        <w:t>turned</w:t>
      </w:r>
      <w:r w:rsidRPr="00092257">
        <w:rPr>
          <w:b/>
          <w:bCs/>
          <w:i/>
          <w:iCs/>
        </w:rPr>
        <w:t xml:space="preserve">? </w:t>
      </w:r>
    </w:p>
    <w:p w14:paraId="1FF7522F" w14:textId="77777777" w:rsidR="001F14DA" w:rsidRPr="005641F6" w:rsidRDefault="001F14DA" w:rsidP="00135CA6">
      <w:pPr>
        <w:ind w:left="720"/>
        <w:rPr>
          <w:b/>
          <w:u w:val="single"/>
        </w:rPr>
      </w:pPr>
    </w:p>
    <w:p w14:paraId="54583B8B" w14:textId="3EB3C082" w:rsidR="006D4835" w:rsidRPr="005641F6" w:rsidRDefault="006D4835" w:rsidP="006D4835">
      <w:pPr>
        <w:ind w:left="720"/>
        <w:jc w:val="both"/>
      </w:pPr>
      <w:r w:rsidRPr="005641F6">
        <w:rPr>
          <w:b/>
          <w:bCs/>
          <w:u w:val="single"/>
        </w:rPr>
        <w:t>Answer:</w:t>
      </w:r>
      <w:r w:rsidRPr="005641F6">
        <w:t xml:space="preserve">  Variance requests must be made by the contractor on the </w:t>
      </w:r>
      <w:r w:rsidR="001F14DA" w:rsidRPr="005641F6">
        <w:t xml:space="preserve">Tenth District Recovery Agreement </w:t>
      </w:r>
      <w:r w:rsidRPr="005641F6">
        <w:t xml:space="preserve">Variance Request Form at least five (5) working days prior to the bid date and time of a project.  The site local union will provide a decision on the variance request to the appropriate (site) NECA Chapter within two (2) working days after receiving the variance request. </w:t>
      </w:r>
    </w:p>
    <w:p w14:paraId="578F8D21" w14:textId="77777777" w:rsidR="00135CA6" w:rsidRPr="005641F6" w:rsidRDefault="00135CA6" w:rsidP="001061CA">
      <w:pPr>
        <w:ind w:left="720"/>
      </w:pPr>
    </w:p>
    <w:p w14:paraId="64B8815D" w14:textId="2E0C36EE" w:rsidR="00E7197B" w:rsidRPr="005641F6" w:rsidRDefault="00E7197B" w:rsidP="00092257">
      <w:pPr>
        <w:pStyle w:val="ListParagraph"/>
        <w:numPr>
          <w:ilvl w:val="0"/>
          <w:numId w:val="6"/>
        </w:numPr>
        <w:rPr>
          <w:b/>
          <w:bCs/>
          <w:i/>
          <w:iCs/>
        </w:rPr>
      </w:pPr>
      <w:r w:rsidRPr="005641F6">
        <w:rPr>
          <w:b/>
          <w:bCs/>
          <w:i/>
          <w:iCs/>
        </w:rPr>
        <w:t>Where does the variance request response get sent?</w:t>
      </w:r>
    </w:p>
    <w:p w14:paraId="7F945829" w14:textId="77777777" w:rsidR="001061CA" w:rsidRPr="005641F6" w:rsidRDefault="001061CA" w:rsidP="001061CA"/>
    <w:p w14:paraId="64BECA04" w14:textId="202BC85B" w:rsidR="00E7197B" w:rsidRPr="005641F6" w:rsidRDefault="00E7197B" w:rsidP="001F14DA">
      <w:pPr>
        <w:ind w:left="720"/>
        <w:jc w:val="both"/>
      </w:pPr>
      <w:r w:rsidRPr="005641F6">
        <w:rPr>
          <w:b/>
          <w:bCs/>
          <w:u w:val="single"/>
        </w:rPr>
        <w:t>Answer:</w:t>
      </w:r>
      <w:r w:rsidRPr="005641F6">
        <w:t xml:space="preserve">  The </w:t>
      </w:r>
      <w:r w:rsidR="001F14DA" w:rsidRPr="005641F6">
        <w:t xml:space="preserve">variance request </w:t>
      </w:r>
      <w:r w:rsidRPr="005641F6">
        <w:t xml:space="preserve">response </w:t>
      </w:r>
      <w:r w:rsidR="001F14DA" w:rsidRPr="005641F6">
        <w:t xml:space="preserve">is to be </w:t>
      </w:r>
      <w:r w:rsidRPr="005641F6">
        <w:t>sent</w:t>
      </w:r>
      <w:r w:rsidR="001F14DA" w:rsidRPr="005641F6">
        <w:t xml:space="preserve"> by the site local union</w:t>
      </w:r>
      <w:r w:rsidRPr="005641F6">
        <w:t xml:space="preserve"> to the appropriate (site) NECA Chapter.  The </w:t>
      </w:r>
      <w:r w:rsidR="001F14DA" w:rsidRPr="005641F6">
        <w:t>NECA C</w:t>
      </w:r>
      <w:r w:rsidRPr="005641F6">
        <w:t>hapter is responsible for informing all contractors bidding on a job as to what, if any, variance has been granted.</w:t>
      </w:r>
    </w:p>
    <w:p w14:paraId="0887650A" w14:textId="77777777" w:rsidR="001061CA" w:rsidRPr="005641F6" w:rsidRDefault="001061CA" w:rsidP="001061CA">
      <w:pPr>
        <w:ind w:left="720"/>
      </w:pPr>
    </w:p>
    <w:p w14:paraId="6F9FF40E" w14:textId="180EB5E1" w:rsidR="00E7197B" w:rsidRPr="005641F6" w:rsidRDefault="00E7197B" w:rsidP="00092257">
      <w:pPr>
        <w:pStyle w:val="ListParagraph"/>
        <w:numPr>
          <w:ilvl w:val="0"/>
          <w:numId w:val="6"/>
        </w:numPr>
        <w:rPr>
          <w:b/>
          <w:bCs/>
          <w:i/>
          <w:iCs/>
        </w:rPr>
      </w:pPr>
      <w:r w:rsidRPr="005641F6">
        <w:rPr>
          <w:b/>
          <w:bCs/>
          <w:i/>
          <w:iCs/>
        </w:rPr>
        <w:t>What are the consequences of not submitting a Job Start Form?</w:t>
      </w:r>
    </w:p>
    <w:p w14:paraId="0B189577" w14:textId="77777777" w:rsidR="0040131E" w:rsidRPr="005641F6" w:rsidRDefault="0040131E" w:rsidP="0040131E"/>
    <w:p w14:paraId="23920F31" w14:textId="74B76EA6" w:rsidR="00E7197B" w:rsidRPr="005641F6" w:rsidRDefault="00E7197B" w:rsidP="00E7197B">
      <w:pPr>
        <w:ind w:left="720"/>
        <w:jc w:val="both"/>
      </w:pPr>
      <w:r w:rsidRPr="005641F6">
        <w:rPr>
          <w:b/>
          <w:bCs/>
          <w:u w:val="single"/>
        </w:rPr>
        <w:t>Answer:</w:t>
      </w:r>
      <w:r w:rsidRPr="005641F6">
        <w:t xml:space="preserve">  If a contractor fails to submit a Job Start Form, the job would not be considered to be worked under the IBEW Tenth District Inside Recovery Agreement</w:t>
      </w:r>
      <w:r w:rsidR="001F14DA" w:rsidRPr="005641F6">
        <w:t xml:space="preserve"> until a Job Start Form has been submitted</w:t>
      </w:r>
      <w:r w:rsidR="00601C36">
        <w:t xml:space="preserve"> and w</w:t>
      </w:r>
      <w:r w:rsidRPr="005641F6">
        <w:t>ould be subject to the terms and conditions of the site local union inside agreement</w:t>
      </w:r>
      <w:r w:rsidR="001F14DA" w:rsidRPr="005641F6">
        <w:t xml:space="preserve"> until a Job Start Form has been submitted</w:t>
      </w:r>
      <w:r w:rsidR="00D65EC2">
        <w:t>.</w:t>
      </w:r>
      <w:r w:rsidR="001F14DA" w:rsidRPr="005641F6">
        <w:t xml:space="preserve"> </w:t>
      </w:r>
    </w:p>
    <w:p w14:paraId="3EFCC997" w14:textId="02CE7582" w:rsidR="004E6992" w:rsidRPr="005641F6" w:rsidRDefault="004E6992" w:rsidP="0040131E">
      <w:pPr>
        <w:ind w:left="720"/>
      </w:pPr>
    </w:p>
    <w:p w14:paraId="457EB2ED" w14:textId="433069AE" w:rsidR="004E6992" w:rsidRPr="005641F6" w:rsidRDefault="00092257" w:rsidP="002D4EB2">
      <w:pPr>
        <w:ind w:left="720" w:hanging="360"/>
        <w:jc w:val="both"/>
      </w:pPr>
      <w:r>
        <w:rPr>
          <w:b/>
          <w:bCs/>
        </w:rPr>
        <w:t>10</w:t>
      </w:r>
      <w:r w:rsidR="005641F6" w:rsidRPr="005641F6">
        <w:tab/>
      </w:r>
      <w:r w:rsidR="002D4EB2" w:rsidRPr="005641F6">
        <w:rPr>
          <w:b/>
          <w:bCs/>
          <w:i/>
          <w:iCs/>
        </w:rPr>
        <w:t xml:space="preserve">How does a contractor </w:t>
      </w:r>
      <w:r w:rsidR="00864610" w:rsidRPr="005641F6">
        <w:rPr>
          <w:b/>
          <w:bCs/>
          <w:i/>
          <w:iCs/>
        </w:rPr>
        <w:t xml:space="preserve">who is </w:t>
      </w:r>
      <w:r w:rsidR="002D4EB2" w:rsidRPr="005641F6">
        <w:rPr>
          <w:b/>
          <w:bCs/>
          <w:i/>
          <w:iCs/>
        </w:rPr>
        <w:t>signatory to both the IBEW Tenth District Inside Recovery Agreement and a State</w:t>
      </w:r>
      <w:r w:rsidR="005641F6">
        <w:rPr>
          <w:b/>
          <w:bCs/>
          <w:i/>
          <w:iCs/>
        </w:rPr>
        <w:t>w</w:t>
      </w:r>
      <w:r w:rsidR="002D4EB2" w:rsidRPr="005641F6">
        <w:rPr>
          <w:b/>
          <w:bCs/>
          <w:i/>
          <w:iCs/>
        </w:rPr>
        <w:t xml:space="preserve">ide Agreement (SWA) addendum designate which agreement will be used </w:t>
      </w:r>
      <w:r w:rsidR="001D4B03" w:rsidRPr="005641F6">
        <w:rPr>
          <w:b/>
          <w:bCs/>
          <w:i/>
          <w:iCs/>
        </w:rPr>
        <w:t xml:space="preserve">on </w:t>
      </w:r>
      <w:r w:rsidR="002D4EB2" w:rsidRPr="005641F6">
        <w:rPr>
          <w:b/>
          <w:bCs/>
          <w:i/>
          <w:iCs/>
        </w:rPr>
        <w:t>a job?</w:t>
      </w:r>
      <w:r w:rsidR="002D4EB2" w:rsidRPr="005641F6">
        <w:t xml:space="preserve"> </w:t>
      </w:r>
    </w:p>
    <w:p w14:paraId="34E5E2AF" w14:textId="72361D9A" w:rsidR="002D4EB2" w:rsidRPr="005641F6" w:rsidRDefault="002D4EB2" w:rsidP="002D4EB2">
      <w:pPr>
        <w:ind w:left="720" w:hanging="360"/>
        <w:jc w:val="both"/>
      </w:pPr>
    </w:p>
    <w:p w14:paraId="211A8878" w14:textId="17358137" w:rsidR="002D4EB2" w:rsidRPr="005641F6" w:rsidRDefault="002D4EB2" w:rsidP="002D4EB2">
      <w:pPr>
        <w:ind w:left="720" w:hanging="360"/>
        <w:jc w:val="both"/>
      </w:pPr>
      <w:r w:rsidRPr="005641F6">
        <w:tab/>
      </w:r>
      <w:r w:rsidRPr="005641F6">
        <w:rPr>
          <w:b/>
          <w:bCs/>
          <w:u w:val="single"/>
        </w:rPr>
        <w:t>Answer:</w:t>
      </w:r>
      <w:r w:rsidRPr="005641F6">
        <w:t xml:space="preserve">  A contractor designate</w:t>
      </w:r>
      <w:r w:rsidR="007722E4" w:rsidRPr="005641F6">
        <w:t>s</w:t>
      </w:r>
      <w:r w:rsidRPr="005641F6">
        <w:t xml:space="preserve"> the </w:t>
      </w:r>
      <w:r w:rsidR="00864610" w:rsidRPr="005641F6">
        <w:t xml:space="preserve">agreement to be used by following the job </w:t>
      </w:r>
      <w:r w:rsidR="001D4B03" w:rsidRPr="005641F6">
        <w:t xml:space="preserve">start </w:t>
      </w:r>
      <w:r w:rsidR="00864610" w:rsidRPr="005641F6">
        <w:t xml:space="preserve">notice requirements for </w:t>
      </w:r>
      <w:r w:rsidR="001D4B03" w:rsidRPr="005641F6">
        <w:t xml:space="preserve">the applicable </w:t>
      </w:r>
      <w:r w:rsidR="00864610" w:rsidRPr="005641F6">
        <w:t>agreement.  For the IBEW Tenth District Inside Recovery Agreement, a contractor would submit the Job Start Form and the executed signature page for each site project.</w:t>
      </w:r>
      <w:r w:rsidR="001D4B03" w:rsidRPr="005641F6">
        <w:t xml:space="preserve">  For the Arkansas</w:t>
      </w:r>
      <w:r w:rsidR="00CB731C">
        <w:t xml:space="preserve"> and Carolina</w:t>
      </w:r>
      <w:r w:rsidR="001D4B03" w:rsidRPr="005641F6">
        <w:t xml:space="preserve"> </w:t>
      </w:r>
      <w:r w:rsidR="00F317D3">
        <w:t xml:space="preserve">(no statewide agreement available in Tennessee) </w:t>
      </w:r>
      <w:r w:rsidR="001D4B03" w:rsidRPr="005641F6">
        <w:t>Statewide Agreements, the Job Start Form for the respective statewide jurisdiction would be applicable</w:t>
      </w:r>
      <w:r w:rsidR="007722E4" w:rsidRPr="005641F6">
        <w:t xml:space="preserve">.  All Job Start Forms are specific to the applicable jurisdiction and </w:t>
      </w:r>
      <w:r w:rsidR="00846146" w:rsidRPr="005641F6">
        <w:t xml:space="preserve">the applicable jurisdiction is </w:t>
      </w:r>
      <w:r w:rsidR="007722E4" w:rsidRPr="005641F6">
        <w:t>identified at the top of the form.</w:t>
      </w:r>
      <w:r w:rsidR="00864610" w:rsidRPr="005641F6">
        <w:t xml:space="preserve"> </w:t>
      </w:r>
    </w:p>
    <w:p w14:paraId="4EA09514" w14:textId="0183F77C" w:rsidR="00E9096F" w:rsidRPr="005641F6" w:rsidRDefault="00E9096F" w:rsidP="002D4EB2">
      <w:pPr>
        <w:ind w:left="720" w:hanging="360"/>
        <w:jc w:val="both"/>
      </w:pPr>
    </w:p>
    <w:p w14:paraId="3EBA1402" w14:textId="6CCCB486" w:rsidR="00E9096F" w:rsidRPr="00092257" w:rsidRDefault="00E9096F" w:rsidP="002D4EB2">
      <w:pPr>
        <w:ind w:left="720" w:hanging="360"/>
        <w:jc w:val="both"/>
        <w:rPr>
          <w:i/>
          <w:iCs/>
        </w:rPr>
      </w:pPr>
      <w:r w:rsidRPr="005641F6">
        <w:rPr>
          <w:b/>
          <w:bCs/>
        </w:rPr>
        <w:t>1</w:t>
      </w:r>
      <w:r w:rsidR="00092257">
        <w:rPr>
          <w:b/>
          <w:bCs/>
        </w:rPr>
        <w:t>1</w:t>
      </w:r>
      <w:r w:rsidRPr="005641F6">
        <w:t xml:space="preserve"> </w:t>
      </w:r>
      <w:r w:rsidR="0090381B">
        <w:rPr>
          <w:b/>
          <w:bCs/>
          <w:i/>
          <w:iCs/>
        </w:rPr>
        <w:t xml:space="preserve">What is the manpower portability provision within </w:t>
      </w:r>
      <w:r w:rsidR="00003C11">
        <w:rPr>
          <w:b/>
          <w:bCs/>
          <w:i/>
          <w:iCs/>
        </w:rPr>
        <w:t xml:space="preserve">the IBEW Tenth District </w:t>
      </w:r>
      <w:r w:rsidR="008740FB">
        <w:rPr>
          <w:b/>
          <w:bCs/>
          <w:i/>
          <w:iCs/>
        </w:rPr>
        <w:t xml:space="preserve">Inside Recovery </w:t>
      </w:r>
      <w:r w:rsidR="00003C11">
        <w:rPr>
          <w:b/>
          <w:bCs/>
          <w:i/>
          <w:iCs/>
        </w:rPr>
        <w:t>Agreement?</w:t>
      </w:r>
    </w:p>
    <w:p w14:paraId="1D69AB2E" w14:textId="79D8CB1D" w:rsidR="00E9096F" w:rsidRPr="005641F6" w:rsidRDefault="00E9096F" w:rsidP="002D4EB2">
      <w:pPr>
        <w:ind w:left="720" w:hanging="360"/>
        <w:jc w:val="both"/>
      </w:pPr>
    </w:p>
    <w:p w14:paraId="29754F25" w14:textId="0AA6EEC1" w:rsidR="002A6EE9" w:rsidRPr="005641F6" w:rsidRDefault="00E9096F" w:rsidP="002D4EB2">
      <w:pPr>
        <w:ind w:left="720" w:hanging="360"/>
        <w:jc w:val="both"/>
      </w:pPr>
      <w:r w:rsidRPr="005641F6">
        <w:tab/>
      </w:r>
      <w:r w:rsidRPr="005641F6">
        <w:rPr>
          <w:b/>
          <w:bCs/>
          <w:u w:val="single"/>
        </w:rPr>
        <w:t>Answer:</w:t>
      </w:r>
      <w:r w:rsidRPr="005641F6">
        <w:t xml:space="preserve">  Employers </w:t>
      </w:r>
      <w:r w:rsidR="00003C11">
        <w:t xml:space="preserve">domiciled within the IBEW Tenth District </w:t>
      </w:r>
      <w:r w:rsidRPr="005641F6">
        <w:t xml:space="preserve">shall have full portability of manpower within the </w:t>
      </w:r>
      <w:r w:rsidR="002A6EE9" w:rsidRPr="005641F6">
        <w:t xml:space="preserve">inside </w:t>
      </w:r>
      <w:r w:rsidRPr="005641F6">
        <w:t xml:space="preserve">jurisdiction </w:t>
      </w:r>
      <w:r w:rsidR="007A2DCE">
        <w:t xml:space="preserve">throughout </w:t>
      </w:r>
      <w:r w:rsidRPr="005641F6">
        <w:t>the IBEW Tenth District.</w:t>
      </w:r>
      <w:r w:rsidR="002A6EE9" w:rsidRPr="005641F6">
        <w:t xml:space="preserve">  For th</w:t>
      </w:r>
      <w:r w:rsidR="0053353A" w:rsidRPr="005641F6">
        <w:t xml:space="preserve">e </w:t>
      </w:r>
      <w:r w:rsidR="002A6EE9" w:rsidRPr="005641F6">
        <w:t>purpose</w:t>
      </w:r>
      <w:r w:rsidR="0053353A" w:rsidRPr="005641F6">
        <w:t xml:space="preserve"> of this agreement</w:t>
      </w:r>
      <w:r w:rsidR="002A6EE9" w:rsidRPr="005641F6">
        <w:t>, full portability shall mean those employees employed by the employer for a minimum of two (2) weeks.</w:t>
      </w:r>
      <w:r w:rsidR="007A2DCE">
        <w:t xml:space="preserve">  For employers domiciled outside of the IBEW Tenth District, the terms and conditions of the National Portability Agreement shall apply.</w:t>
      </w:r>
    </w:p>
    <w:p w14:paraId="413E815A" w14:textId="448A6299" w:rsidR="002A6EE9" w:rsidRDefault="002A6EE9" w:rsidP="002D4EB2">
      <w:pPr>
        <w:ind w:left="720" w:hanging="360"/>
        <w:jc w:val="both"/>
      </w:pPr>
    </w:p>
    <w:p w14:paraId="0BF566F8" w14:textId="77777777" w:rsidR="00A71635" w:rsidRPr="005641F6" w:rsidRDefault="00A71635" w:rsidP="002D4EB2">
      <w:pPr>
        <w:ind w:left="720" w:hanging="360"/>
        <w:jc w:val="both"/>
      </w:pPr>
    </w:p>
    <w:p w14:paraId="28DB0846" w14:textId="70A27D78" w:rsidR="002A6EE9" w:rsidRPr="00092257" w:rsidRDefault="002A6EE9" w:rsidP="002D4EB2">
      <w:pPr>
        <w:ind w:left="720" w:hanging="360"/>
        <w:jc w:val="both"/>
        <w:rPr>
          <w:i/>
          <w:iCs/>
        </w:rPr>
      </w:pPr>
      <w:r w:rsidRPr="005641F6">
        <w:rPr>
          <w:b/>
          <w:bCs/>
        </w:rPr>
        <w:t>1</w:t>
      </w:r>
      <w:r w:rsidR="00092257">
        <w:rPr>
          <w:b/>
          <w:bCs/>
        </w:rPr>
        <w:t>2</w:t>
      </w:r>
      <w:r w:rsidRPr="005641F6">
        <w:t xml:space="preserve"> </w:t>
      </w:r>
      <w:r w:rsidR="00916416">
        <w:rPr>
          <w:i/>
          <w:iCs/>
        </w:rPr>
        <w:t xml:space="preserve"> </w:t>
      </w:r>
      <w:r w:rsidRPr="00092257">
        <w:rPr>
          <w:b/>
          <w:bCs/>
          <w:i/>
          <w:iCs/>
        </w:rPr>
        <w:t xml:space="preserve">What wage rate and fringe benefit package is applicable to employees brought into </w:t>
      </w:r>
      <w:r w:rsidR="0053353A" w:rsidRPr="00092257">
        <w:rPr>
          <w:b/>
          <w:bCs/>
          <w:i/>
          <w:iCs/>
        </w:rPr>
        <w:t xml:space="preserve">a </w:t>
      </w:r>
      <w:r w:rsidRPr="00092257">
        <w:rPr>
          <w:b/>
          <w:bCs/>
          <w:i/>
          <w:iCs/>
        </w:rPr>
        <w:t>jurisdiction through the portability provision?</w:t>
      </w:r>
    </w:p>
    <w:p w14:paraId="25D69FDC" w14:textId="77777777" w:rsidR="002A6EE9" w:rsidRPr="005641F6" w:rsidRDefault="002A6EE9" w:rsidP="002D4EB2">
      <w:pPr>
        <w:ind w:left="720" w:hanging="360"/>
        <w:jc w:val="both"/>
      </w:pPr>
    </w:p>
    <w:p w14:paraId="0CF51BB6" w14:textId="004BD2E6" w:rsidR="00E9096F" w:rsidRDefault="002A6EE9" w:rsidP="002A6EE9">
      <w:pPr>
        <w:ind w:left="720"/>
        <w:jc w:val="both"/>
      </w:pPr>
      <w:r w:rsidRPr="005641F6">
        <w:rPr>
          <w:b/>
          <w:bCs/>
          <w:u w:val="single"/>
        </w:rPr>
        <w:lastRenderedPageBreak/>
        <w:t>Answer:</w:t>
      </w:r>
      <w:r w:rsidRPr="005641F6">
        <w:t xml:space="preserve">  </w:t>
      </w:r>
      <w:r w:rsidR="00E9096F" w:rsidRPr="005641F6">
        <w:t xml:space="preserve">Under the portability provision of the IBEW Tenth District Inside Recovery Agreement, </w:t>
      </w:r>
      <w:r w:rsidRPr="005641F6">
        <w:t>all wages shall be based on the site local union’s inside collective bargaining agreement or the applicable wage sheet from the referring local union, whichever is higher.  All fringe benefits, working assessments, and apprenticeship contributions shall be paid to the site local union where the work is performed.</w:t>
      </w:r>
      <w:r w:rsidR="00E9096F" w:rsidRPr="005641F6">
        <w:t xml:space="preserve"> </w:t>
      </w:r>
    </w:p>
    <w:p w14:paraId="215583DB" w14:textId="77777777" w:rsidR="00040A7D" w:rsidRPr="00040A7D" w:rsidRDefault="00040A7D">
      <w:pPr>
        <w:jc w:val="both"/>
        <w:rPr>
          <w:color w:val="FF0000"/>
        </w:rPr>
      </w:pPr>
    </w:p>
    <w:sectPr w:rsidR="00040A7D" w:rsidRPr="00040A7D" w:rsidSect="005641F6">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D25DA" w14:textId="77777777" w:rsidR="001726D7" w:rsidRDefault="001726D7" w:rsidP="005F50F9">
      <w:r>
        <w:separator/>
      </w:r>
    </w:p>
  </w:endnote>
  <w:endnote w:type="continuationSeparator" w:id="0">
    <w:p w14:paraId="6CB0C0FA" w14:textId="77777777" w:rsidR="001726D7" w:rsidRDefault="001726D7" w:rsidP="005F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4BEAA" w14:textId="77777777" w:rsidR="00CB731C" w:rsidRDefault="00CB7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9EEFA" w14:textId="726C76CC" w:rsidR="005F50F9" w:rsidRDefault="00CB731C">
    <w:pPr>
      <w:pStyle w:val="Footer"/>
    </w:pPr>
    <w:r>
      <w:t>2/21/23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0CED0" w14:textId="77777777" w:rsidR="00CB731C" w:rsidRDefault="00CB7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3B8CD" w14:textId="77777777" w:rsidR="001726D7" w:rsidRDefault="001726D7" w:rsidP="005F50F9">
      <w:r>
        <w:separator/>
      </w:r>
    </w:p>
  </w:footnote>
  <w:footnote w:type="continuationSeparator" w:id="0">
    <w:p w14:paraId="64DB2C77" w14:textId="77777777" w:rsidR="001726D7" w:rsidRDefault="001726D7" w:rsidP="005F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8FCD" w14:textId="77777777" w:rsidR="00CB731C" w:rsidRDefault="00CB7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C486" w14:textId="77777777" w:rsidR="00CB731C" w:rsidRDefault="00CB7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7488" w14:textId="77777777" w:rsidR="00CB731C" w:rsidRDefault="00CB7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C31E2"/>
    <w:multiLevelType w:val="hybridMultilevel"/>
    <w:tmpl w:val="EBA25424"/>
    <w:lvl w:ilvl="0" w:tplc="739EE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D78E7"/>
    <w:multiLevelType w:val="hybridMultilevel"/>
    <w:tmpl w:val="1158C926"/>
    <w:lvl w:ilvl="0" w:tplc="739EE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626AF"/>
    <w:multiLevelType w:val="hybridMultilevel"/>
    <w:tmpl w:val="94540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3D6663"/>
    <w:multiLevelType w:val="hybridMultilevel"/>
    <w:tmpl w:val="20B2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E3502"/>
    <w:multiLevelType w:val="hybridMultilevel"/>
    <w:tmpl w:val="8E5A8FBE"/>
    <w:lvl w:ilvl="0" w:tplc="95FA40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F7FA2"/>
    <w:multiLevelType w:val="hybridMultilevel"/>
    <w:tmpl w:val="78A49438"/>
    <w:lvl w:ilvl="0" w:tplc="C804E01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82"/>
    <w:rsid w:val="00003C11"/>
    <w:rsid w:val="000307CA"/>
    <w:rsid w:val="00040A7D"/>
    <w:rsid w:val="000522A8"/>
    <w:rsid w:val="0005497B"/>
    <w:rsid w:val="00092257"/>
    <w:rsid w:val="000B62C4"/>
    <w:rsid w:val="000E15FA"/>
    <w:rsid w:val="000F1A34"/>
    <w:rsid w:val="001061CA"/>
    <w:rsid w:val="00135CA6"/>
    <w:rsid w:val="001726D7"/>
    <w:rsid w:val="001B2673"/>
    <w:rsid w:val="001D4B03"/>
    <w:rsid w:val="001E020C"/>
    <w:rsid w:val="001F14DA"/>
    <w:rsid w:val="001F3921"/>
    <w:rsid w:val="00211ED2"/>
    <w:rsid w:val="00260F98"/>
    <w:rsid w:val="002A6EE9"/>
    <w:rsid w:val="002B3B23"/>
    <w:rsid w:val="002D4EB2"/>
    <w:rsid w:val="0030619B"/>
    <w:rsid w:val="003173F4"/>
    <w:rsid w:val="0034260C"/>
    <w:rsid w:val="00393D15"/>
    <w:rsid w:val="003B7DED"/>
    <w:rsid w:val="003F19AE"/>
    <w:rsid w:val="0040131E"/>
    <w:rsid w:val="004A1DEF"/>
    <w:rsid w:val="004B5103"/>
    <w:rsid w:val="004B7811"/>
    <w:rsid w:val="004E07EE"/>
    <w:rsid w:val="004E6992"/>
    <w:rsid w:val="00506841"/>
    <w:rsid w:val="0053353A"/>
    <w:rsid w:val="005641F6"/>
    <w:rsid w:val="005E111B"/>
    <w:rsid w:val="005F50F9"/>
    <w:rsid w:val="00601C36"/>
    <w:rsid w:val="00664B4C"/>
    <w:rsid w:val="00673E69"/>
    <w:rsid w:val="006D46BE"/>
    <w:rsid w:val="006D4835"/>
    <w:rsid w:val="007539A5"/>
    <w:rsid w:val="007722E4"/>
    <w:rsid w:val="007A2DCE"/>
    <w:rsid w:val="007E7A29"/>
    <w:rsid w:val="0081092A"/>
    <w:rsid w:val="00817684"/>
    <w:rsid w:val="008409BB"/>
    <w:rsid w:val="00846146"/>
    <w:rsid w:val="00850BE6"/>
    <w:rsid w:val="00864610"/>
    <w:rsid w:val="008740FB"/>
    <w:rsid w:val="00894E5E"/>
    <w:rsid w:val="008B4D82"/>
    <w:rsid w:val="0090381B"/>
    <w:rsid w:val="009159B7"/>
    <w:rsid w:val="00916416"/>
    <w:rsid w:val="00984DB4"/>
    <w:rsid w:val="00987645"/>
    <w:rsid w:val="009B4F91"/>
    <w:rsid w:val="009E71A9"/>
    <w:rsid w:val="009F14B4"/>
    <w:rsid w:val="00A013A0"/>
    <w:rsid w:val="00A06B53"/>
    <w:rsid w:val="00A2312C"/>
    <w:rsid w:val="00A601FA"/>
    <w:rsid w:val="00A71635"/>
    <w:rsid w:val="00A97A5B"/>
    <w:rsid w:val="00AC37BD"/>
    <w:rsid w:val="00B84153"/>
    <w:rsid w:val="00B96121"/>
    <w:rsid w:val="00BA4AB8"/>
    <w:rsid w:val="00BD750F"/>
    <w:rsid w:val="00C35EA4"/>
    <w:rsid w:val="00C47624"/>
    <w:rsid w:val="00C856F9"/>
    <w:rsid w:val="00C85FC1"/>
    <w:rsid w:val="00CB226E"/>
    <w:rsid w:val="00CB731C"/>
    <w:rsid w:val="00CE5164"/>
    <w:rsid w:val="00D65EC2"/>
    <w:rsid w:val="00D714C2"/>
    <w:rsid w:val="00D91C1C"/>
    <w:rsid w:val="00DB737D"/>
    <w:rsid w:val="00E0563F"/>
    <w:rsid w:val="00E07E86"/>
    <w:rsid w:val="00E7197B"/>
    <w:rsid w:val="00E9096F"/>
    <w:rsid w:val="00EB4BC1"/>
    <w:rsid w:val="00EF249A"/>
    <w:rsid w:val="00EF4664"/>
    <w:rsid w:val="00EF72B7"/>
    <w:rsid w:val="00F317D3"/>
    <w:rsid w:val="00F750CD"/>
    <w:rsid w:val="00F979AC"/>
    <w:rsid w:val="00FA32D9"/>
    <w:rsid w:val="00FA3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2C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97B"/>
    <w:pPr>
      <w:ind w:left="720"/>
      <w:contextualSpacing/>
    </w:pPr>
  </w:style>
  <w:style w:type="paragraph" w:styleId="Header">
    <w:name w:val="header"/>
    <w:basedOn w:val="Normal"/>
    <w:link w:val="HeaderChar"/>
    <w:uiPriority w:val="99"/>
    <w:unhideWhenUsed/>
    <w:rsid w:val="005F50F9"/>
    <w:pPr>
      <w:tabs>
        <w:tab w:val="center" w:pos="4680"/>
        <w:tab w:val="right" w:pos="9360"/>
      </w:tabs>
    </w:pPr>
  </w:style>
  <w:style w:type="character" w:customStyle="1" w:styleId="HeaderChar">
    <w:name w:val="Header Char"/>
    <w:basedOn w:val="DefaultParagraphFont"/>
    <w:link w:val="Header"/>
    <w:uiPriority w:val="99"/>
    <w:rsid w:val="005F50F9"/>
  </w:style>
  <w:style w:type="paragraph" w:styleId="Footer">
    <w:name w:val="footer"/>
    <w:basedOn w:val="Normal"/>
    <w:link w:val="FooterChar"/>
    <w:uiPriority w:val="99"/>
    <w:unhideWhenUsed/>
    <w:rsid w:val="005F50F9"/>
    <w:pPr>
      <w:tabs>
        <w:tab w:val="center" w:pos="4680"/>
        <w:tab w:val="right" w:pos="9360"/>
      </w:tabs>
    </w:pPr>
  </w:style>
  <w:style w:type="character" w:customStyle="1" w:styleId="FooterChar">
    <w:name w:val="Footer Char"/>
    <w:basedOn w:val="DefaultParagraphFont"/>
    <w:link w:val="Footer"/>
    <w:uiPriority w:val="99"/>
    <w:rsid w:val="005F50F9"/>
  </w:style>
  <w:style w:type="character" w:styleId="CommentReference">
    <w:name w:val="annotation reference"/>
    <w:basedOn w:val="DefaultParagraphFont"/>
    <w:uiPriority w:val="99"/>
    <w:semiHidden/>
    <w:unhideWhenUsed/>
    <w:rsid w:val="003173F4"/>
    <w:rPr>
      <w:sz w:val="16"/>
      <w:szCs w:val="16"/>
    </w:rPr>
  </w:style>
  <w:style w:type="paragraph" w:styleId="CommentText">
    <w:name w:val="annotation text"/>
    <w:basedOn w:val="Normal"/>
    <w:link w:val="CommentTextChar"/>
    <w:uiPriority w:val="99"/>
    <w:semiHidden/>
    <w:unhideWhenUsed/>
    <w:rsid w:val="003173F4"/>
    <w:rPr>
      <w:sz w:val="20"/>
      <w:szCs w:val="20"/>
    </w:rPr>
  </w:style>
  <w:style w:type="character" w:customStyle="1" w:styleId="CommentTextChar">
    <w:name w:val="Comment Text Char"/>
    <w:basedOn w:val="DefaultParagraphFont"/>
    <w:link w:val="CommentText"/>
    <w:uiPriority w:val="99"/>
    <w:semiHidden/>
    <w:rsid w:val="003173F4"/>
    <w:rPr>
      <w:sz w:val="20"/>
      <w:szCs w:val="20"/>
    </w:rPr>
  </w:style>
  <w:style w:type="paragraph" w:styleId="CommentSubject">
    <w:name w:val="annotation subject"/>
    <w:basedOn w:val="CommentText"/>
    <w:next w:val="CommentText"/>
    <w:link w:val="CommentSubjectChar"/>
    <w:uiPriority w:val="99"/>
    <w:semiHidden/>
    <w:unhideWhenUsed/>
    <w:rsid w:val="003173F4"/>
    <w:rPr>
      <w:b/>
      <w:bCs/>
    </w:rPr>
  </w:style>
  <w:style w:type="character" w:customStyle="1" w:styleId="CommentSubjectChar">
    <w:name w:val="Comment Subject Char"/>
    <w:basedOn w:val="CommentTextChar"/>
    <w:link w:val="CommentSubject"/>
    <w:uiPriority w:val="99"/>
    <w:semiHidden/>
    <w:rsid w:val="003173F4"/>
    <w:rPr>
      <w:b/>
      <w:bCs/>
      <w:sz w:val="20"/>
      <w:szCs w:val="20"/>
    </w:rPr>
  </w:style>
  <w:style w:type="paragraph" w:styleId="BalloonText">
    <w:name w:val="Balloon Text"/>
    <w:basedOn w:val="Normal"/>
    <w:link w:val="BalloonTextChar"/>
    <w:uiPriority w:val="99"/>
    <w:semiHidden/>
    <w:unhideWhenUsed/>
    <w:rsid w:val="00317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3F4"/>
    <w:rPr>
      <w:rFonts w:ascii="Segoe UI" w:hAnsi="Segoe UI" w:cs="Segoe UI"/>
      <w:sz w:val="18"/>
      <w:szCs w:val="18"/>
    </w:rPr>
  </w:style>
  <w:style w:type="paragraph" w:styleId="BodyText">
    <w:name w:val="Body Text"/>
    <w:basedOn w:val="Normal"/>
    <w:link w:val="BodyTextChar"/>
    <w:uiPriority w:val="99"/>
    <w:semiHidden/>
    <w:unhideWhenUsed/>
    <w:rsid w:val="00EF4664"/>
    <w:pPr>
      <w:spacing w:after="120"/>
    </w:pPr>
  </w:style>
  <w:style w:type="character" w:customStyle="1" w:styleId="BodyTextChar">
    <w:name w:val="Body Text Char"/>
    <w:basedOn w:val="DefaultParagraphFont"/>
    <w:link w:val="BodyText"/>
    <w:uiPriority w:val="99"/>
    <w:semiHidden/>
    <w:rsid w:val="00EF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21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BB965EE3B7047BFCAF250C513B44E" ma:contentTypeVersion="13" ma:contentTypeDescription="Create a new document." ma:contentTypeScope="" ma:versionID="f83e293b9f0c6d6b654a7e04b2b9ec66">
  <xsd:schema xmlns:xsd="http://www.w3.org/2001/XMLSchema" xmlns:xs="http://www.w3.org/2001/XMLSchema" xmlns:p="http://schemas.microsoft.com/office/2006/metadata/properties" xmlns:ns3="aa26c583-32a7-4d3f-b536-7077618581c6" xmlns:ns4="929d65f9-bdaa-4028-a5cf-e0cad295051e" targetNamespace="http://schemas.microsoft.com/office/2006/metadata/properties" ma:root="true" ma:fieldsID="ff01deaef572104984f307570bc39ac3" ns3:_="" ns4:_="">
    <xsd:import namespace="aa26c583-32a7-4d3f-b536-7077618581c6"/>
    <xsd:import namespace="929d65f9-bdaa-4028-a5cf-e0cad29505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6c583-32a7-4d3f-b536-707761858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9d65f9-bdaa-4028-a5cf-e0cad29505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B0140-AF50-4B18-BF60-22AC67D466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A18520-EEC2-4279-B9E9-7AEB692A4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6c583-32a7-4d3f-b536-7077618581c6"/>
    <ds:schemaRef ds:uri="929d65f9-bdaa-4028-a5cf-e0cad2950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7DD46E-6555-429D-B588-A61BBBE3D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Piatt, Frank S.</cp:lastModifiedBy>
  <cp:revision>2</cp:revision>
  <cp:lastPrinted>2023-02-27T16:48:00Z</cp:lastPrinted>
  <dcterms:created xsi:type="dcterms:W3CDTF">2023-02-27T16:49:00Z</dcterms:created>
  <dcterms:modified xsi:type="dcterms:W3CDTF">2023-02-27T16:49:00Z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0x010100694BB965EE3B7047BFCAF250C513B44E</vt:lpwstr>
  </property>
</Properties>
</file>